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96E65" w:rsidRPr="00296E65">
        <w:rPr>
          <w:rFonts w:ascii="Times New Roman" w:hAnsi="Times New Roman" w:cs="Times New Roman"/>
          <w:color w:val="auto"/>
          <w:sz w:val="28"/>
          <w:szCs w:val="28"/>
        </w:rPr>
        <w:t>Приборы вторичные, регулирующие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96E6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61EC4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61EC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61EC4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A61EC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proofErr w:type="spellStart"/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Ванкор</w:t>
            </w:r>
            <w:proofErr w:type="spellEnd"/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61EC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hanging="544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96E65" w:rsidRPr="00296E65">
              <w:rPr>
                <w:bCs/>
                <w:color w:val="000000"/>
                <w:spacing w:val="-2"/>
              </w:rPr>
              <w:t>Приборы вторичные,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A61EC4" w:rsidRPr="00B456EE" w:rsidRDefault="00A61EC4" w:rsidP="00A61EC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61EC4"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61EC4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A61EC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61EC4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A61EC4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61EC4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320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2019-08-22T04:31:00Z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